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>Author(s) First name(s) and Surname(s)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:rsidR="00710E16" w:rsidRDefault="00710E16" w:rsidP="00710E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10E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</w:t>
      </w:r>
      <w:proofErr w:type="gramStart"/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titles !</w:t>
      </w:r>
      <w:proofErr w:type="gramEnd"/>
    </w:p>
    <w:p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06F9C0A8" wp14:editId="36609AE3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:rsidR="00511A8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06114F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avoid using </w:t>
      </w:r>
      <w:proofErr w:type="gramStart"/>
      <w:r w:rsidRPr="005B507B">
        <w:rPr>
          <w:rFonts w:ascii="Times New Roman" w:hAnsi="Times New Roman" w:cs="Times New Roman"/>
          <w:b/>
          <w:color w:val="FF0000"/>
          <w:lang w:val="en-US"/>
        </w:rPr>
        <w:t>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proofErr w:type="gramEnd"/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 xml:space="preserve">first name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44F" w:rsidRDefault="00A9244F">
      <w:r>
        <w:separator/>
      </w:r>
    </w:p>
  </w:endnote>
  <w:endnote w:type="continuationSeparator" w:id="0">
    <w:p w:rsidR="00A9244F" w:rsidRDefault="00A9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44F" w:rsidRDefault="00A9244F">
      <w:r>
        <w:separator/>
      </w:r>
    </w:p>
  </w:footnote>
  <w:footnote w:type="continuationSeparator" w:id="0">
    <w:p w:rsidR="00A9244F" w:rsidRDefault="00A92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B1EB2"/>
    <w:rsid w:val="003B4734"/>
    <w:rsid w:val="003F3E09"/>
    <w:rsid w:val="004050C9"/>
    <w:rsid w:val="00415F33"/>
    <w:rsid w:val="004234E8"/>
    <w:rsid w:val="00443FE6"/>
    <w:rsid w:val="00454E11"/>
    <w:rsid w:val="0046001B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10E16"/>
    <w:rsid w:val="00716B22"/>
    <w:rsid w:val="00724DE2"/>
    <w:rsid w:val="00731F19"/>
    <w:rsid w:val="007340AC"/>
    <w:rsid w:val="00746BD5"/>
    <w:rsid w:val="0075100E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A02F3B"/>
    <w:rsid w:val="00A22126"/>
    <w:rsid w:val="00A22693"/>
    <w:rsid w:val="00A32C7E"/>
    <w:rsid w:val="00A543BC"/>
    <w:rsid w:val="00A9244F"/>
    <w:rsid w:val="00AA4E40"/>
    <w:rsid w:val="00AB6896"/>
    <w:rsid w:val="00AD5AC5"/>
    <w:rsid w:val="00AE2253"/>
    <w:rsid w:val="00B11636"/>
    <w:rsid w:val="00B671CD"/>
    <w:rsid w:val="00B71A4B"/>
    <w:rsid w:val="00B8377C"/>
    <w:rsid w:val="00B93AED"/>
    <w:rsid w:val="00BA05F4"/>
    <w:rsid w:val="00BE58A8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9705856"/>
        <c:axId val="149707392"/>
      </c:lineChart>
      <c:catAx>
        <c:axId val="14970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9707392"/>
        <c:crosses val="autoZero"/>
        <c:auto val="1"/>
        <c:lblAlgn val="ctr"/>
        <c:lblOffset val="100"/>
        <c:noMultiLvlLbl val="0"/>
      </c:catAx>
      <c:valAx>
        <c:axId val="14970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9705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1322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8979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7</cp:revision>
  <dcterms:created xsi:type="dcterms:W3CDTF">2017-08-14T05:10:00Z</dcterms:created>
  <dcterms:modified xsi:type="dcterms:W3CDTF">2019-02-16T21:35:00Z</dcterms:modified>
</cp:coreProperties>
</file>